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rFonts w:ascii="Arial" w:hAnsi="Arial"/>
          <w:color w:val="000000"/>
          <w:sz w:val="22"/>
          <w:szCs w:val="22"/>
          <w:u w:color="000000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1338580</wp:posOffset>
            </wp:positionH>
            <wp:positionV relativeFrom="page">
              <wp:posOffset>449580</wp:posOffset>
            </wp:positionV>
            <wp:extent cx="3048000" cy="11557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ITSELECTA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5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e"/>
        <w:rPr>
          <w:rFonts w:ascii="Arial" w:hAnsi="Arial"/>
          <w:color w:val="000000"/>
          <w:sz w:val="22"/>
          <w:szCs w:val="22"/>
          <w:u w:color="00000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</w:rPr>
        <w:t>ITSELECTA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è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un'agenzia di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ricerca e selezione del personale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con sede a Cracovia, in Polonia. La nostra missione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trovare le persone giuste per il nostro cliente e il lavoro perfetto per i nostri candidati. Ci focalizziamo sul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recruiting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per i clienti in Polonia e Repubblica Ceca.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Il nostro cliente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societ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internazionale ben nota nel settore elettronico e stiamo selezionando candidati per unirsi al team dell'ufficio di Praga.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grande opportunit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unirsi a una grande azienda se hai le giuste capacit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e motivazione per muoverti nella splendida citt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Praga.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it-IT"/>
        </w:rPr>
        <w:t>Figura professionale: Application Engineer for Motor Control and Power Electronics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Supporto ai clienti Europei (EMEA) che sviluppano progetti per controllo di motore ad alta potenza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 xml:space="preserve">Supporto tecnico </w:t>
      </w:r>
      <w:r>
        <w:rPr>
          <w:rFonts w:ascii="Arial" w:hAnsi="Arial"/>
          <w:rtl w:val="0"/>
          <w:lang w:val="it-IT"/>
        </w:rPr>
        <w:t>a</w:t>
      </w:r>
      <w:r>
        <w:rPr>
          <w:rFonts w:ascii="Arial" w:hAnsi="Arial"/>
          <w:rtl w:val="0"/>
          <w:lang w:val="it-IT"/>
        </w:rPr>
        <w:t>l</w:t>
      </w:r>
      <w:r>
        <w:rPr>
          <w:rFonts w:ascii="Arial" w:hAnsi="Arial"/>
          <w:rtl w:val="0"/>
          <w:lang w:val="it-IT"/>
        </w:rPr>
        <w:t xml:space="preserve"> </w:t>
      </w:r>
      <w:r>
        <w:rPr>
          <w:rFonts w:ascii="Arial" w:hAnsi="Arial"/>
          <w:rtl w:val="0"/>
          <w:lang w:val="it-IT"/>
        </w:rPr>
        <w:t xml:space="preserve">cliente principalmente tramite e-mail, eventualmente tramite chiamate telefoniche e </w:t>
      </w:r>
      <w:r>
        <w:rPr>
          <w:rFonts w:ascii="Arial" w:hAnsi="Arial"/>
          <w:rtl w:val="0"/>
          <w:lang w:val="it-IT"/>
        </w:rPr>
        <w:t>visite dirette al cliente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-Project development (HW/SW) per i nostri clienti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-Project management in collaborazione con i dipartimenti Marketing e Vendita</w:t>
      </w:r>
    </w:p>
    <w:p>
      <w:pPr>
        <w:pStyle w:val="Testo normale1"/>
        <w:jc w:val="both"/>
        <w:rPr>
          <w:rFonts w:ascii="Times" w:cs="Times" w:hAnsi="Times" w:eastAsia="Times"/>
          <w:sz w:val="24"/>
          <w:szCs w:val="24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Analisi delle applicazioni dei clienti e studio di fattibilit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sui requisiti applicativi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  <w:b w:val="1"/>
          <w:bCs w:val="1"/>
          <w:color w:val="0070c0"/>
          <w:u w:color="0070c0"/>
        </w:rPr>
      </w:pPr>
      <w:r>
        <w:rPr>
          <w:rFonts w:ascii="Arial" w:hAnsi="Arial"/>
          <w:b w:val="1"/>
          <w:bCs w:val="1"/>
          <w:color w:val="7030a0"/>
          <w:u w:color="7030a0"/>
          <w:rtl w:val="0"/>
          <w:lang w:val="it-IT"/>
        </w:rPr>
        <w:t>Requisiti:</w:t>
      </w:r>
    </w:p>
    <w:p>
      <w:pPr>
        <w:pStyle w:val="Testo normale1"/>
        <w:jc w:val="both"/>
        <w:rPr>
          <w:rFonts w:ascii="Arial" w:cs="Arial" w:hAnsi="Arial" w:eastAsia="Arial"/>
          <w:color w:val="000000"/>
          <w:u w:color="000000"/>
        </w:rPr>
      </w:pP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Laurea Magistrale in Ingegneria Elettronica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 xml:space="preserve">Conoscenza generale </w:t>
      </w:r>
      <w:r>
        <w:rPr>
          <w:rFonts w:ascii="Arial" w:hAnsi="Arial"/>
          <w:color w:val="000000"/>
          <w:u w:color="000000"/>
          <w:rtl w:val="0"/>
          <w:lang w:val="it-IT"/>
        </w:rPr>
        <w:t>sull'elettronica di potenza e di potenza per il controllo del motore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Livello comunicativo di Inglese (scritto e parlato)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 xml:space="preserve">Esperienza </w:t>
      </w:r>
      <w:r>
        <w:rPr>
          <w:rFonts w:ascii="Arial" w:hAnsi="Arial"/>
          <w:color w:val="000000"/>
          <w:u w:color="000000"/>
          <w:rtl w:val="0"/>
          <w:lang w:val="it-IT"/>
        </w:rPr>
        <w:t>nel design d</w:t>
      </w:r>
      <w:r>
        <w:rPr>
          <w:rFonts w:ascii="Arial" w:hAnsi="Arial"/>
          <w:color w:val="000000"/>
          <w:u w:color="000000"/>
          <w:rtl w:val="0"/>
          <w:lang w:val="it-IT"/>
        </w:rPr>
        <w:t>i</w:t>
      </w:r>
      <w:r>
        <w:rPr>
          <w:rFonts w:ascii="Arial" w:hAnsi="Arial"/>
          <w:color w:val="000000"/>
          <w:u w:color="000000"/>
          <w:rtl w:val="0"/>
          <w:lang w:val="it-IT"/>
        </w:rPr>
        <w:t xml:space="preserve"> motori industriali </w:t>
      </w:r>
      <w:r>
        <w:rPr>
          <w:rFonts w:ascii="Arial" w:hAnsi="Arial" w:hint="default"/>
          <w:color w:val="000000"/>
          <w:u w:color="000000"/>
          <w:rtl w:val="0"/>
          <w:lang w:val="it-IT"/>
        </w:rPr>
        <w:t xml:space="preserve">è </w:t>
      </w:r>
      <w:r>
        <w:rPr>
          <w:rFonts w:ascii="Arial" w:hAnsi="Arial"/>
          <w:color w:val="000000"/>
          <w:u w:color="000000"/>
          <w:rtl w:val="0"/>
          <w:lang w:val="it-IT"/>
        </w:rPr>
        <w:t>un vantaggio</w:t>
      </w:r>
    </w:p>
    <w:p>
      <w:pPr>
        <w:pStyle w:val="Normale"/>
        <w:rPr>
          <w:color w:val="000000"/>
          <w:u w:color="000000"/>
        </w:rPr>
      </w:pPr>
    </w:p>
    <w:p>
      <w:pPr>
        <w:pStyle w:val="Normale"/>
        <w:rPr>
          <w:rFonts w:ascii="Arial" w:cs="Arial" w:hAnsi="Arial" w:eastAsia="Arial"/>
          <w:b w:val="1"/>
          <w:bCs w:val="1"/>
          <w:color w:val="5f81aa"/>
          <w:sz w:val="22"/>
          <w:szCs w:val="22"/>
          <w:u w:color="5f81aa"/>
        </w:rPr>
      </w:pPr>
      <w:r>
        <w:rPr>
          <w:rFonts w:ascii="Arial" w:hAnsi="Arial"/>
          <w:b w:val="1"/>
          <w:bCs w:val="1"/>
          <w:color w:val="5f81aa"/>
          <w:sz w:val="22"/>
          <w:szCs w:val="22"/>
          <w:u w:color="5f81aa"/>
          <w:rtl w:val="0"/>
          <w:lang w:val="it-IT"/>
        </w:rPr>
        <w:t>Tipologia contrattuale: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C</w:t>
      </w: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ontratto a tempo indeterminato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d47c18"/>
          <w:sz w:val="22"/>
          <w:szCs w:val="22"/>
          <w:u w:color="d47c18"/>
          <w:rtl w:val="0"/>
          <w:lang w:val="it-IT"/>
        </w:rPr>
        <w:t>Sede di lavoro: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Praga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ff6600"/>
          <w:sz w:val="22"/>
          <w:szCs w:val="22"/>
          <w:u w:color="ff6600"/>
          <w:rtl w:val="0"/>
          <w:lang w:val="it-IT"/>
        </w:rPr>
        <w:t>Per candidarsi: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</w:t>
      </w:r>
      <w:r>
        <w:rPr>
          <w:rFonts w:ascii="Arial" w:hAnsi="Arial"/>
          <w:sz w:val="22"/>
          <w:szCs w:val="22"/>
          <w:rtl w:val="0"/>
          <w:lang w:val="it-IT"/>
        </w:rPr>
        <w:t xml:space="preserve">nviare il proprio </w:t>
      </w:r>
      <w:r>
        <w:rPr>
          <w:rFonts w:ascii="Arial" w:hAnsi="Arial"/>
          <w:sz w:val="22"/>
          <w:szCs w:val="22"/>
          <w:rtl w:val="0"/>
          <w:lang w:val="it-IT"/>
        </w:rPr>
        <w:t>CV in Inglese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"mailto:info@itselecta.com"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info@itselecta.com</w:t>
      </w:r>
      <w:r>
        <w:rPr/>
        <w:fldChar w:fldCharType="end" w:fldLock="0"/>
      </w:r>
      <w:r>
        <w:rPr>
          <w:rFonts w:ascii="Arial" w:hAnsi="Arial"/>
          <w:sz w:val="22"/>
          <w:szCs w:val="22"/>
          <w:rtl w:val="0"/>
          <w:lang w:val="it-IT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 xml:space="preserve">entro il </w:t>
      </w:r>
      <w:r>
        <w:rPr>
          <w:rFonts w:ascii="Arial" w:hAnsi="Arial"/>
          <w:sz w:val="22"/>
          <w:szCs w:val="22"/>
          <w:rtl w:val="0"/>
          <w:lang w:val="it-IT"/>
        </w:rPr>
        <w:t>30/07/2017.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inserendo in oggetto 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Rif. Contatto Ufficio Placement Politecnico di Bari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CV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contenere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autorizzazione al trattamento dei dati personali ai sensi del D. Lgs. n. 196/2003 ed attestazione di veridicit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ai sensi del DPR n.445/2000. </w:t>
      </w:r>
    </w:p>
    <w:p>
      <w:pPr>
        <w:pStyle w:val="Normale"/>
      </w:pPr>
      <w:r>
        <w:rPr>
          <w:rFonts w:ascii="Arial" w:hAnsi="Arial"/>
          <w:sz w:val="22"/>
          <w:szCs w:val="22"/>
          <w:rtl w:val="0"/>
          <w:lang w:val="it-IT"/>
        </w:rPr>
        <w:t xml:space="preserve">Il presente annuncio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rivolto ad ambo i sessi, ai sensi della normativa vigente.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esto normale1">
    <w:name w:val="Testo normale1"/>
    <w:next w:val="Testo normale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