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91D88" w14:textId="2D700818" w:rsidR="00765271" w:rsidRPr="00765271" w:rsidRDefault="00765271" w:rsidP="00765271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3F444A"/>
          <w:sz w:val="27"/>
          <w:szCs w:val="27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 xml:space="preserve">BORSE DI STUDIO </w:t>
      </w:r>
      <w:r w:rsidR="00932AA5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>PER TESI #HAPPY30ThPOLIBA”</w:t>
      </w:r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> </w:t>
      </w:r>
      <w:r w:rsidRPr="00765271">
        <w:rPr>
          <w:rFonts w:ascii="Arial" w:eastAsia="Times New Roman" w:hAnsi="Arial" w:cs="Arial"/>
          <w:color w:val="3F444A"/>
          <w:sz w:val="27"/>
          <w:szCs w:val="27"/>
          <w:lang w:eastAsia="it-IT"/>
        </w:rPr>
        <w:br/>
      </w:r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 xml:space="preserve">-  Istruzioni per la compilazione del </w:t>
      </w:r>
      <w:proofErr w:type="spellStart"/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>form</w:t>
      </w:r>
      <w:proofErr w:type="spellEnd"/>
      <w:r w:rsidRPr="00765271">
        <w:rPr>
          <w:rFonts w:ascii="Arial" w:eastAsia="Times New Roman" w:hAnsi="Arial" w:cs="Arial"/>
          <w:b/>
          <w:bCs/>
          <w:color w:val="3F444A"/>
          <w:sz w:val="27"/>
          <w:szCs w:val="27"/>
          <w:lang w:eastAsia="it-IT"/>
        </w:rPr>
        <w:t xml:space="preserve"> –</w:t>
      </w:r>
    </w:p>
    <w:p w14:paraId="578A31F2" w14:textId="56800EBB" w:rsidR="008B78F3" w:rsidRDefault="00765271" w:rsidP="008B78F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I candidati che abbiano i requisiti per partecipare </w:t>
      </w:r>
      <w:r w:rsidR="00932AA5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al concorso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per l</w:t>
      </w:r>
      <w:r w:rsidR="00815B99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’attribuzione di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borse </w:t>
      </w:r>
      <w:r w:rsidR="00932AA5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di studio per lo svolgimento di tesi nell’ambito </w:t>
      </w:r>
      <w:r w:rsidR="00E04633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indetto con D.R. n. </w:t>
      </w:r>
      <w:r w:rsidR="00A02362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564 del 13.05.2022, </w:t>
      </w:r>
      <w:r w:rsidRPr="008624B0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devono inviare richiesta esclusivamente attraverso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l’apposito </w:t>
      </w:r>
      <w:proofErr w:type="spellStart"/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form</w:t>
      </w:r>
      <w:proofErr w:type="spellEnd"/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on line.</w:t>
      </w:r>
    </w:p>
    <w:p w14:paraId="09491D8B" w14:textId="6BE7EEA9" w:rsidR="00765271" w:rsidRPr="00765271" w:rsidRDefault="00765271" w:rsidP="00AB2A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La procedura per inoltrare la domanda di partecipazione </w:t>
      </w:r>
      <w:r w:rsidR="008B78F3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al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 concorso resterà attiva </w:t>
      </w:r>
      <w:r w:rsidRPr="00765271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 xml:space="preserve">fino </w:t>
      </w:r>
      <w:r w:rsidRPr="00A02362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 xml:space="preserve">alle ore </w:t>
      </w:r>
      <w:r w:rsidR="00A02362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12.00 del 16 giugno 2022</w:t>
      </w:r>
      <w:bookmarkStart w:id="0" w:name="_GoBack"/>
      <w:bookmarkEnd w:id="0"/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 e non potrà essere oggetto di proroga.</w:t>
      </w:r>
    </w:p>
    <w:p w14:paraId="09491D8C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Le richieste non formulate come previsto non verranno prese in considerazione.</w:t>
      </w:r>
    </w:p>
    <w:p w14:paraId="09491D8D" w14:textId="77777777" w:rsidR="00765271" w:rsidRPr="00765271" w:rsidRDefault="00765271" w:rsidP="00AB2AA5">
      <w:pPr>
        <w:shd w:val="clear" w:color="auto" w:fill="FFFFFF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3F444A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3F444A"/>
          <w:lang w:eastAsia="it-IT"/>
        </w:rPr>
        <w:t>ATTENZIONE: il Form online può essere compilato una sola volta e non è modificabile. Pertanto si invita a verificare attentamente le istruzioni prima di inoltrare la richiesta.</w:t>
      </w:r>
    </w:p>
    <w:p w14:paraId="09491D8E" w14:textId="77777777" w:rsidR="00765271" w:rsidRPr="00765271" w:rsidRDefault="00765271" w:rsidP="00765271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color w:val="3F444A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3F444A"/>
          <w:lang w:eastAsia="it-IT"/>
        </w:rPr>
        <w:t>PRECISAZIONI</w:t>
      </w:r>
    </w:p>
    <w:p w14:paraId="09491D8F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u w:val="single"/>
          <w:lang w:eastAsia="it-IT"/>
        </w:rPr>
        <w:t>Per il calcolo di MP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:</w:t>
      </w:r>
    </w:p>
    <w:p w14:paraId="09491D90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Gli studenti devono considerare tutti gli esami sostenuti nella propria carriera accademica e validi ai fini curricolari fino alla data della domanda;</w:t>
      </w:r>
    </w:p>
    <w:p w14:paraId="09491D91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La media è calcolata sui soli esami con voto; gli esami senza voto non alterano la media e vanno considerate attività formative senza voto; per gli esami con lode, il voto è considerato pari a 30 trentesimi;</w:t>
      </w:r>
    </w:p>
    <w:p w14:paraId="09491D92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Gli esami soprannumerari rispetto al piano di studi non possono essere inseriti nel computo totale dei crediti acquisiti e nel valore di MP;</w:t>
      </w:r>
    </w:p>
    <w:p w14:paraId="09491D93" w14:textId="77777777" w:rsidR="00765271" w:rsidRPr="00765271" w:rsidRDefault="00765271" w:rsidP="008624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L’esame composto da più moduli o da prove scritte e orali, si intenderà superato qualora siano superati tutti i moduli o entrambe le prove;</w:t>
      </w:r>
    </w:p>
    <w:p w14:paraId="09491D95" w14:textId="77777777" w:rsidR="00765271" w:rsidRPr="00765271" w:rsidRDefault="00765271" w:rsidP="007652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b/>
          <w:bCs/>
          <w:color w:val="5C6873"/>
          <w:sz w:val="26"/>
          <w:szCs w:val="26"/>
          <w:lang w:eastAsia="it-IT"/>
        </w:rPr>
        <w:t>Per anno di prima immatricolazione si precisa che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:</w:t>
      </w:r>
    </w:p>
    <w:p w14:paraId="09491D96" w14:textId="77777777" w:rsidR="00765271" w:rsidRPr="00765271" w:rsidRDefault="00765271" w:rsidP="008624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Nel caso di trasferimento in ingresso, passaggio di corso, immatricolazione con abbreviazione di carriera o immatricolazione a seguito di rinuncia, nel caso in cui vi sia un riconoscimento della carriera pregressa, l’anno di prima immatricolazione sarà quello relativo all’inizio della carriera pregressa.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br/>
      </w:r>
      <w:r w:rsidRPr="00765271">
        <w:rPr>
          <w:rFonts w:ascii="Arial" w:eastAsia="Times New Roman" w:hAnsi="Arial" w:cs="Arial"/>
          <w:color w:val="5C6873"/>
          <w:sz w:val="26"/>
          <w:szCs w:val="26"/>
          <w:u w:val="single"/>
          <w:lang w:eastAsia="it-IT"/>
        </w:rPr>
        <w:t>Esempi</w:t>
      </w:r>
    </w:p>
    <w:p w14:paraId="09491D97" w14:textId="77777777" w:rsidR="00765271" w:rsidRPr="00765271" w:rsidRDefault="00765271" w:rsidP="008624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Trasferimento in ingresso ad una Laurea triennale/magistrale del Politecnico di Bari da altro ateneo (con riconoscimento CFU): l’anno di prima immatricolazione sarà l’anno in cui lo studente si è immatricolato alla Laurea triennale/magistrale presso l’altro ateneo;</w:t>
      </w:r>
    </w:p>
    <w:p w14:paraId="09491D98" w14:textId="77777777" w:rsidR="00765271" w:rsidRPr="00765271" w:rsidRDefault="00765271" w:rsidP="008624B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Passaggio di corso tra corsi di laurea triennale del Politecnico di Bari (con riconoscimento CFU): l’anno di prima immatricolazione sarà l’anno in cui lo studente si è immatricolato al primo corso di Laurea triennale;</w:t>
      </w:r>
    </w:p>
    <w:p w14:paraId="09491D99" w14:textId="68E91321" w:rsidR="00765271" w:rsidRPr="00765271" w:rsidRDefault="00765271" w:rsidP="002413B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Abbreviazione di carriera (secondo titolo, rinuncia, ecc. con riconoscimento CFU): rientrano nel calcolo gli anni della carriera pregressa </w:t>
      </w:r>
      <w:r w:rsidR="002413BB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di cui sono stati riconosciuti </w:t>
      </w: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t>i CFU</w:t>
      </w:r>
      <w:r w:rsidR="002413BB">
        <w:rPr>
          <w:rFonts w:ascii="Arial" w:eastAsia="Times New Roman" w:hAnsi="Arial" w:cs="Arial"/>
          <w:color w:val="5C6873"/>
          <w:sz w:val="26"/>
          <w:szCs w:val="26"/>
          <w:lang w:eastAsia="it-IT"/>
        </w:rPr>
        <w:t xml:space="preserve">. </w:t>
      </w:r>
    </w:p>
    <w:p w14:paraId="72B043A0" w14:textId="77777777" w:rsidR="002413BB" w:rsidRDefault="00765271" w:rsidP="0024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color w:val="5C6873"/>
          <w:sz w:val="26"/>
          <w:szCs w:val="26"/>
          <w:lang w:eastAsia="it-IT"/>
        </w:rPr>
        <w:lastRenderedPageBreak/>
        <w:t>Per gli iscritti in modalità part-time, il valore di N (necessario per il calcolo di MP) deve tener conto di ciascuna metà di anno di corso sostenuta in modalità part-time (slot) che vale 0,5.</w:t>
      </w:r>
    </w:p>
    <w:p w14:paraId="09491D9A" w14:textId="6F1F4423" w:rsidR="00765271" w:rsidRPr="00765271" w:rsidRDefault="00765271" w:rsidP="002413B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5C6873"/>
          <w:sz w:val="26"/>
          <w:szCs w:val="26"/>
          <w:lang w:eastAsia="it-IT"/>
        </w:rPr>
      </w:pPr>
      <w:r w:rsidRPr="00765271">
        <w:rPr>
          <w:rFonts w:ascii="Arial" w:eastAsia="Times New Roman" w:hAnsi="Arial" w:cs="Arial"/>
          <w:i/>
          <w:iCs/>
          <w:color w:val="5C6873"/>
          <w:sz w:val="26"/>
          <w:szCs w:val="26"/>
          <w:lang w:eastAsia="it-IT"/>
        </w:rPr>
        <w:t xml:space="preserve">Esempio: Giovanni, nel </w:t>
      </w:r>
      <w:r>
        <w:rPr>
          <w:rFonts w:ascii="Arial" w:eastAsia="Times New Roman" w:hAnsi="Arial" w:cs="Arial"/>
          <w:i/>
          <w:iCs/>
          <w:color w:val="5C6873"/>
          <w:sz w:val="26"/>
          <w:szCs w:val="26"/>
          <w:lang w:eastAsia="it-IT"/>
        </w:rPr>
        <w:t>2017/18</w:t>
      </w:r>
      <w:r w:rsidRPr="00765271">
        <w:rPr>
          <w:rFonts w:ascii="Arial" w:eastAsia="Times New Roman" w:hAnsi="Arial" w:cs="Arial"/>
          <w:i/>
          <w:iCs/>
          <w:color w:val="5C6873"/>
          <w:sz w:val="26"/>
          <w:szCs w:val="26"/>
          <w:lang w:eastAsia="it-IT"/>
        </w:rPr>
        <w:t>, si iscrive come studente a tempo parziale, per il suo II anno di corso. Dunque, il II anno di Giovanni durerà due anni accademici:</w:t>
      </w:r>
    </w:p>
    <w:p w14:paraId="09491D9B" w14:textId="77777777" w:rsidR="00765271" w:rsidRPr="008624B0" w:rsidRDefault="00765271" w:rsidP="0024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</w:pP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PRIMO SLOT 2017/18, nel quale Giovanni sostiene 30 CFU del II anno di corso;</w:t>
      </w:r>
    </w:p>
    <w:p w14:paraId="09491D9C" w14:textId="77777777" w:rsidR="00765271" w:rsidRPr="008624B0" w:rsidRDefault="00765271" w:rsidP="002413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C6873"/>
          <w:sz w:val="26"/>
          <w:szCs w:val="26"/>
          <w:highlight w:val="yellow"/>
          <w:lang w:eastAsia="it-IT"/>
        </w:rPr>
      </w:pPr>
      <w:r w:rsidRPr="008624B0">
        <w:rPr>
          <w:rFonts w:ascii="Arial" w:eastAsia="Times New Roman" w:hAnsi="Arial" w:cs="Arial"/>
          <w:i/>
          <w:iCs/>
          <w:color w:val="5C6873"/>
          <w:sz w:val="26"/>
          <w:szCs w:val="26"/>
          <w:highlight w:val="yellow"/>
          <w:lang w:eastAsia="it-IT"/>
        </w:rPr>
        <w:t>SECONDO SLOT 2018/19, nel quale Giovanni sostiene gli altri 30 CFU del II anno di corso.</w:t>
      </w:r>
    </w:p>
    <w:p w14:paraId="09491D9D" w14:textId="77777777" w:rsidR="00765271" w:rsidRPr="00765271" w:rsidRDefault="00765271" w:rsidP="00765271">
      <w:pPr>
        <w:shd w:val="clear" w:color="auto" w:fill="FFFFFF"/>
        <w:spacing w:before="120" w:after="120" w:line="240" w:lineRule="auto"/>
        <w:outlineLvl w:val="3"/>
        <w:rPr>
          <w:rFonts w:ascii="Arial" w:eastAsia="Times New Roman" w:hAnsi="Arial" w:cs="Arial"/>
          <w:color w:val="3F444A"/>
          <w:lang w:eastAsia="it-IT"/>
        </w:rPr>
      </w:pPr>
      <w:r w:rsidRPr="00765271">
        <w:rPr>
          <w:rFonts w:ascii="Arial" w:eastAsia="Times New Roman" w:hAnsi="Arial" w:cs="Arial"/>
          <w:color w:val="3F444A"/>
          <w:lang w:eastAsia="it-IT"/>
        </w:rPr>
        <w:t>​</w:t>
      </w:r>
      <w:r w:rsidRPr="00765271">
        <w:rPr>
          <w:rFonts w:ascii="Arial" w:eastAsia="Times New Roman" w:hAnsi="Arial" w:cs="Arial"/>
          <w:b/>
          <w:bCs/>
          <w:i/>
          <w:iCs/>
          <w:color w:val="3F444A"/>
          <w:lang w:eastAsia="it-IT"/>
        </w:rPr>
        <w:t>Si consiglia di leggere attentamente il bando prima di inoltrare istanza.</w:t>
      </w:r>
    </w:p>
    <w:p w14:paraId="53FECB3B" w14:textId="77777777" w:rsidR="008B78F3" w:rsidRDefault="008B78F3" w:rsidP="00765271">
      <w:pPr>
        <w:shd w:val="clear" w:color="auto" w:fill="FFFFFF"/>
        <w:spacing w:before="150" w:after="150" w:line="240" w:lineRule="auto"/>
        <w:jc w:val="center"/>
        <w:outlineLvl w:val="2"/>
      </w:pPr>
    </w:p>
    <w:p w14:paraId="09491D9F" w14:textId="6C09EE10" w:rsidR="00765271" w:rsidRPr="00765271" w:rsidRDefault="00A02362" w:rsidP="00765271">
      <w:pPr>
        <w:shd w:val="clear" w:color="auto" w:fill="FFFFFF"/>
        <w:spacing w:before="150" w:after="150" w:line="240" w:lineRule="auto"/>
        <w:jc w:val="center"/>
        <w:outlineLvl w:val="2"/>
        <w:rPr>
          <w:rFonts w:ascii="Arial" w:eastAsia="Times New Roman" w:hAnsi="Arial" w:cs="Arial"/>
          <w:color w:val="3F444A"/>
          <w:sz w:val="27"/>
          <w:szCs w:val="27"/>
          <w:lang w:eastAsia="it-IT"/>
        </w:rPr>
      </w:pPr>
      <w:hyperlink r:id="rId5" w:history="1">
        <w:r w:rsidR="00765271" w:rsidRPr="00765271">
          <w:rPr>
            <w:rFonts w:ascii="Arial" w:eastAsia="Times New Roman" w:hAnsi="Arial" w:cs="Arial"/>
            <w:b/>
            <w:bCs/>
            <w:color w:val="3F444A"/>
            <w:sz w:val="27"/>
            <w:szCs w:val="27"/>
            <w:lang w:eastAsia="it-IT"/>
          </w:rPr>
          <w:t>Compila l'istanza</w:t>
        </w:r>
      </w:hyperlink>
    </w:p>
    <w:p w14:paraId="09491DA0" w14:textId="77777777" w:rsidR="008B04AD" w:rsidRDefault="00A02362"/>
    <w:sectPr w:rsidR="008B0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666F"/>
    <w:multiLevelType w:val="multilevel"/>
    <w:tmpl w:val="F066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63BA6"/>
    <w:multiLevelType w:val="multilevel"/>
    <w:tmpl w:val="40BA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46E82"/>
    <w:multiLevelType w:val="multilevel"/>
    <w:tmpl w:val="8802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71"/>
    <w:rsid w:val="00080AE5"/>
    <w:rsid w:val="00081F12"/>
    <w:rsid w:val="00132F24"/>
    <w:rsid w:val="001B7FAD"/>
    <w:rsid w:val="002413BB"/>
    <w:rsid w:val="006A4356"/>
    <w:rsid w:val="00731636"/>
    <w:rsid w:val="00765271"/>
    <w:rsid w:val="007C1AD4"/>
    <w:rsid w:val="00815B99"/>
    <w:rsid w:val="008624B0"/>
    <w:rsid w:val="008B78F3"/>
    <w:rsid w:val="00932AA5"/>
    <w:rsid w:val="00A02362"/>
    <w:rsid w:val="00AB2AA5"/>
    <w:rsid w:val="00C1720A"/>
    <w:rsid w:val="00C218DD"/>
    <w:rsid w:val="00E04633"/>
    <w:rsid w:val="00E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1D88"/>
  <w15:chartTrackingRefBased/>
  <w15:docId w15:val="{77ABE8CA-77F2-4D18-9C66-F96597B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A3A83"/>
    <w:pPr>
      <w:keepNext/>
      <w:keepLines/>
      <w:spacing w:before="240" w:after="0" w:line="240" w:lineRule="auto"/>
      <w:jc w:val="center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A83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A3A83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A3A83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A83"/>
    <w:rPr>
      <w:rFonts w:eastAsiaTheme="majorEastAsia" w:cstheme="majorBidi"/>
      <w:b/>
      <w:color w:val="2E74B5" w:themeColor="accent1" w:themeShade="BF"/>
      <w:sz w:val="4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3A83"/>
    <w:rPr>
      <w:rFonts w:eastAsiaTheme="majorEastAsia" w:cstheme="majorBidi"/>
      <w:b/>
      <w:color w:val="2E74B5" w:themeColor="accent1" w:themeShade="BF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A3A83"/>
    <w:rPr>
      <w:rFonts w:eastAsiaTheme="majorEastAsia" w:cstheme="majorBidi"/>
      <w:i/>
      <w:iCs/>
      <w:sz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A3A83"/>
    <w:rPr>
      <w:rFonts w:eastAsiaTheme="majorEastAsia" w:cstheme="majorBidi"/>
      <w:b/>
      <w:color w:val="1F4D78" w:themeColor="accent1" w:themeShade="7F"/>
      <w:sz w:val="28"/>
    </w:rPr>
  </w:style>
  <w:style w:type="character" w:styleId="Enfasigrassetto">
    <w:name w:val="Strong"/>
    <w:basedOn w:val="Carpredefinitoparagrafo"/>
    <w:uiPriority w:val="22"/>
    <w:qFormat/>
    <w:rsid w:val="007652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6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76527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65271"/>
    <w:rPr>
      <w:color w:val="0000FF"/>
      <w:u w:val="single"/>
    </w:rPr>
  </w:style>
  <w:style w:type="paragraph" w:customStyle="1" w:styleId="paragraph">
    <w:name w:val="paragraph"/>
    <w:basedOn w:val="Normale"/>
    <w:rsid w:val="00C1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ba.it/it/didattica/conferma-login-effettuato-borsa-laurean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Sig.ra Adriana Ruggiero</cp:lastModifiedBy>
  <cp:revision>6</cp:revision>
  <dcterms:created xsi:type="dcterms:W3CDTF">2020-05-05T10:28:00Z</dcterms:created>
  <dcterms:modified xsi:type="dcterms:W3CDTF">2022-05-13T12:20:00Z</dcterms:modified>
</cp:coreProperties>
</file>