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9D1" w:rsidRDefault="005859D1" w:rsidP="005859D1">
      <w:pPr>
        <w:shd w:val="clear" w:color="auto" w:fill="FFFFFF"/>
        <w:spacing w:line="240" w:lineRule="auto"/>
        <w:jc w:val="center"/>
        <w:rPr>
          <w:b/>
          <w:color w:val="FF860D"/>
          <w:sz w:val="28"/>
          <w:lang w:val="en-US"/>
        </w:rPr>
      </w:pPr>
      <w:r>
        <w:rPr>
          <w:rFonts w:eastAsia="Times New Roman" w:cstheme="minorHAnsi"/>
          <w:b/>
          <w:noProof/>
          <w:color w:val="FF8C19"/>
          <w:kern w:val="36"/>
          <w:sz w:val="28"/>
          <w:szCs w:val="24"/>
          <w:lang w:eastAsia="it-IT"/>
        </w:rPr>
        <w:drawing>
          <wp:inline distT="0" distB="0" distL="0" distR="0" wp14:anchorId="00E30F25" wp14:editId="21C8ABA0">
            <wp:extent cx="1803938" cy="696351"/>
            <wp:effectExtent l="0" t="0" r="635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OW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270" cy="71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8AF" w:rsidRPr="00D05FA9" w:rsidRDefault="005859D1" w:rsidP="005859D1">
      <w:pPr>
        <w:shd w:val="clear" w:color="auto" w:fill="FFFFFF"/>
        <w:spacing w:line="240" w:lineRule="auto"/>
        <w:jc w:val="center"/>
        <w:rPr>
          <w:b/>
          <w:color w:val="FF860D"/>
          <w:sz w:val="28"/>
        </w:rPr>
      </w:pPr>
      <w:proofErr w:type="spellStart"/>
      <w:r w:rsidRPr="00D05FA9">
        <w:rPr>
          <w:b/>
          <w:color w:val="FF860D"/>
          <w:sz w:val="28"/>
        </w:rPr>
        <w:t>Internship</w:t>
      </w:r>
      <w:proofErr w:type="spellEnd"/>
      <w:r w:rsidRPr="00D05FA9">
        <w:rPr>
          <w:b/>
          <w:color w:val="FF860D"/>
          <w:sz w:val="28"/>
        </w:rPr>
        <w:t xml:space="preserve"> </w:t>
      </w:r>
      <w:r w:rsidR="00D05FA9" w:rsidRPr="00D05FA9">
        <w:rPr>
          <w:b/>
          <w:color w:val="FF860D"/>
          <w:sz w:val="28"/>
        </w:rPr>
        <w:t>Application Consultant (ERP/EPM) - Parma</w:t>
      </w:r>
    </w:p>
    <w:p w:rsidR="00D05FA9" w:rsidRDefault="00D05FA9" w:rsidP="00D05FA9">
      <w:pPr>
        <w:spacing w:after="0" w:line="240" w:lineRule="auto"/>
        <w:rPr>
          <w:rFonts w:cstheme="minorHAnsi"/>
          <w:b/>
          <w:color w:val="1F4E79" w:themeColor="accent1" w:themeShade="80"/>
          <w:sz w:val="24"/>
          <w:szCs w:val="24"/>
        </w:rPr>
      </w:pPr>
      <w:r w:rsidRPr="00D05FA9">
        <w:rPr>
          <w:rFonts w:cstheme="minorHAnsi"/>
          <w:color w:val="1F4E79" w:themeColor="accent1" w:themeShade="80"/>
          <w:sz w:val="24"/>
          <w:szCs w:val="24"/>
        </w:rPr>
        <w:t xml:space="preserve">TAS Group </w:t>
      </w:r>
      <w:proofErr w:type="spellStart"/>
      <w:r w:rsidRPr="00D05FA9">
        <w:rPr>
          <w:rFonts w:cstheme="minorHAnsi"/>
          <w:color w:val="1F4E79" w:themeColor="accent1" w:themeShade="80"/>
          <w:sz w:val="24"/>
          <w:szCs w:val="24"/>
        </w:rPr>
        <w:t>SpA</w:t>
      </w:r>
      <w:proofErr w:type="spellEnd"/>
      <w:r w:rsidRPr="00D05FA9">
        <w:rPr>
          <w:rFonts w:cstheme="minorHAnsi"/>
          <w:color w:val="1F4E79" w:themeColor="accent1" w:themeShade="80"/>
          <w:sz w:val="24"/>
          <w:szCs w:val="24"/>
        </w:rPr>
        <w:t xml:space="preserve"> è il partner strategico per l’innovazione nei sistemi di pagamento, le carte, i mercati finanziari e i processi gestionali EPM/ERP delle nuove «Extended Enterprises</w:t>
      </w:r>
      <w:proofErr w:type="gramStart"/>
      <w:r w:rsidRPr="00D05FA9">
        <w:rPr>
          <w:rFonts w:cstheme="minorHAnsi"/>
          <w:color w:val="1F4E79" w:themeColor="accent1" w:themeShade="80"/>
          <w:sz w:val="24"/>
          <w:szCs w:val="24"/>
        </w:rPr>
        <w:t>»:</w:t>
      </w:r>
      <w:r w:rsidRPr="00D05FA9">
        <w:rPr>
          <w:rFonts w:cstheme="minorHAnsi"/>
          <w:color w:val="1F4E79" w:themeColor="accent1" w:themeShade="80"/>
          <w:sz w:val="24"/>
          <w:szCs w:val="24"/>
        </w:rPr>
        <w:br/>
        <w:t>•</w:t>
      </w:r>
      <w:proofErr w:type="gramEnd"/>
      <w:r w:rsidRPr="00D05FA9">
        <w:rPr>
          <w:rFonts w:cstheme="minorHAnsi"/>
          <w:color w:val="1F4E79" w:themeColor="accent1" w:themeShade="80"/>
          <w:sz w:val="24"/>
          <w:szCs w:val="24"/>
        </w:rPr>
        <w:t xml:space="preserve"> Quotata alla Borsa Italiana (MTA)</w:t>
      </w:r>
      <w:r w:rsidRPr="00D05FA9">
        <w:rPr>
          <w:rFonts w:cstheme="minorHAnsi"/>
          <w:color w:val="1F4E79" w:themeColor="accent1" w:themeShade="80"/>
          <w:sz w:val="24"/>
          <w:szCs w:val="24"/>
        </w:rPr>
        <w:br/>
        <w:t>• Oltre 30 anni di esperienza</w:t>
      </w:r>
      <w:r w:rsidRPr="00D05FA9">
        <w:rPr>
          <w:rFonts w:cstheme="minorHAnsi"/>
          <w:color w:val="1F4E79" w:themeColor="accent1" w:themeShade="80"/>
          <w:sz w:val="24"/>
          <w:szCs w:val="24"/>
        </w:rPr>
        <w:br/>
        <w:t>• Più di 400 esperti</w:t>
      </w:r>
      <w:r w:rsidRPr="00D05FA9">
        <w:rPr>
          <w:rFonts w:cstheme="minorHAnsi"/>
          <w:color w:val="1F4E79" w:themeColor="accent1" w:themeShade="80"/>
          <w:sz w:val="24"/>
          <w:szCs w:val="24"/>
        </w:rPr>
        <w:br/>
        <w:t>• Clie</w:t>
      </w:r>
      <w:r>
        <w:rPr>
          <w:rFonts w:cstheme="minorHAnsi"/>
          <w:color w:val="1F4E79" w:themeColor="accent1" w:themeShade="80"/>
          <w:sz w:val="24"/>
          <w:szCs w:val="24"/>
        </w:rPr>
        <w:t>nti in oltre 20 Paesi nel mondo</w:t>
      </w:r>
    </w:p>
    <w:p w:rsidR="00D05FA9" w:rsidRPr="00D05FA9" w:rsidRDefault="00D05FA9" w:rsidP="00D05FA9">
      <w:pPr>
        <w:spacing w:before="240" w:after="0" w:line="240" w:lineRule="auto"/>
        <w:rPr>
          <w:rFonts w:cstheme="minorHAnsi"/>
          <w:b/>
          <w:color w:val="1F4E79" w:themeColor="accent1" w:themeShade="80"/>
          <w:sz w:val="24"/>
          <w:szCs w:val="24"/>
        </w:rPr>
      </w:pPr>
      <w:r w:rsidRPr="00D05FA9">
        <w:rPr>
          <w:rFonts w:cstheme="minorHAnsi"/>
          <w:b/>
          <w:color w:val="1F4E79" w:themeColor="accent1" w:themeShade="80"/>
          <w:sz w:val="24"/>
          <w:szCs w:val="24"/>
        </w:rPr>
        <w:t xml:space="preserve">TAS </w:t>
      </w:r>
      <w:proofErr w:type="spellStart"/>
      <w:r w:rsidRPr="00D05FA9">
        <w:rPr>
          <w:rFonts w:cstheme="minorHAnsi"/>
          <w:b/>
          <w:color w:val="1F4E79" w:themeColor="accent1" w:themeShade="80"/>
          <w:sz w:val="24"/>
          <w:szCs w:val="24"/>
        </w:rPr>
        <w:t>SpA</w:t>
      </w:r>
      <w:proofErr w:type="spellEnd"/>
      <w:r w:rsidRPr="00D05FA9">
        <w:rPr>
          <w:rFonts w:cstheme="minorHAnsi"/>
          <w:color w:val="1F4E79" w:themeColor="accent1" w:themeShade="80"/>
          <w:sz w:val="24"/>
          <w:szCs w:val="24"/>
        </w:rPr>
        <w:t xml:space="preserve"> ricerca per la propria sede di Parma </w:t>
      </w:r>
      <w:r w:rsidR="00841ABD">
        <w:rPr>
          <w:rFonts w:cstheme="minorHAnsi"/>
          <w:color w:val="1F4E79" w:themeColor="accent1" w:themeShade="80"/>
          <w:sz w:val="24"/>
          <w:szCs w:val="24"/>
        </w:rPr>
        <w:t>2</w:t>
      </w:r>
      <w:r w:rsidRPr="00D05FA9">
        <w:rPr>
          <w:rFonts w:cstheme="minorHAnsi"/>
          <w:color w:val="1F4E79" w:themeColor="accent1" w:themeShade="80"/>
          <w:sz w:val="24"/>
          <w:szCs w:val="24"/>
        </w:rPr>
        <w:t xml:space="preserve"> neolaureati o laureandi di talento, interessati ad acquisire competenze relative al ruolo di Application Consultant, nell’ambito delle applicazioni software gestionali ERP (Enterprise Resource Planning) o EPM (Enterprise Performance </w:t>
      </w:r>
      <w:proofErr w:type="spellStart"/>
      <w:r w:rsidRPr="00D05FA9">
        <w:rPr>
          <w:rFonts w:cstheme="minorHAnsi"/>
          <w:color w:val="1F4E79" w:themeColor="accent1" w:themeShade="80"/>
          <w:sz w:val="24"/>
          <w:szCs w:val="24"/>
        </w:rPr>
        <w:t>Managament</w:t>
      </w:r>
      <w:proofErr w:type="spellEnd"/>
      <w:r w:rsidRPr="00D05FA9">
        <w:rPr>
          <w:rFonts w:cstheme="minorHAnsi"/>
          <w:color w:val="1F4E79" w:themeColor="accent1" w:themeShade="80"/>
          <w:sz w:val="24"/>
          <w:szCs w:val="24"/>
        </w:rPr>
        <w:t>).</w:t>
      </w:r>
      <w:r w:rsidRPr="00D05FA9">
        <w:rPr>
          <w:rFonts w:cstheme="minorHAnsi"/>
          <w:color w:val="1F4E79" w:themeColor="accent1" w:themeShade="80"/>
          <w:sz w:val="24"/>
          <w:szCs w:val="24"/>
        </w:rPr>
        <w:br/>
        <w:t xml:space="preserve">I nostri clienti sono principalmente medie e grandi realtà, del settore privato e pubblico, alle quali proponiamo il nostro </w:t>
      </w:r>
      <w:proofErr w:type="spellStart"/>
      <w:r w:rsidRPr="00D05FA9">
        <w:rPr>
          <w:rFonts w:cstheme="minorHAnsi"/>
          <w:color w:val="1F4E79" w:themeColor="accent1" w:themeShade="80"/>
          <w:sz w:val="24"/>
          <w:szCs w:val="24"/>
        </w:rPr>
        <w:t>offering</w:t>
      </w:r>
      <w:proofErr w:type="spellEnd"/>
      <w:r w:rsidRPr="00D05FA9">
        <w:rPr>
          <w:rFonts w:cstheme="minorHAnsi"/>
          <w:color w:val="1F4E79" w:themeColor="accent1" w:themeShade="80"/>
          <w:sz w:val="24"/>
          <w:szCs w:val="24"/>
        </w:rPr>
        <w:t xml:space="preserve"> TAS Extended Enterprise Solutions (2ES) basato sulla piattaforma Oracle </w:t>
      </w:r>
      <w:proofErr w:type="spellStart"/>
      <w:r w:rsidRPr="00D05FA9">
        <w:rPr>
          <w:rFonts w:cstheme="minorHAnsi"/>
          <w:color w:val="1F4E79" w:themeColor="accent1" w:themeShade="80"/>
          <w:sz w:val="24"/>
          <w:szCs w:val="24"/>
        </w:rPr>
        <w:t>Cloud</w:t>
      </w:r>
      <w:proofErr w:type="spellEnd"/>
      <w:r w:rsidRPr="00D05FA9">
        <w:rPr>
          <w:rFonts w:cstheme="minorHAnsi"/>
          <w:color w:val="1F4E79" w:themeColor="accent1" w:themeShade="80"/>
          <w:sz w:val="24"/>
          <w:szCs w:val="24"/>
        </w:rPr>
        <w:t>.</w:t>
      </w:r>
    </w:p>
    <w:p w:rsidR="00D05FA9" w:rsidRDefault="005859D1" w:rsidP="009912E0">
      <w:pPr>
        <w:spacing w:after="0" w:line="240" w:lineRule="auto"/>
        <w:rPr>
          <w:rFonts w:cstheme="minorHAnsi"/>
          <w:color w:val="1F4E79" w:themeColor="accent1" w:themeShade="80"/>
          <w:sz w:val="24"/>
          <w:szCs w:val="24"/>
        </w:rPr>
      </w:pPr>
      <w:r w:rsidRPr="00D05FA9">
        <w:rPr>
          <w:rFonts w:cstheme="minorHAnsi"/>
          <w:b/>
          <w:bCs/>
          <w:i/>
          <w:color w:val="FF860D"/>
          <w:sz w:val="24"/>
          <w:szCs w:val="18"/>
        </w:rPr>
        <w:br/>
      </w:r>
      <w:r w:rsidRPr="005859D1">
        <w:rPr>
          <w:rFonts w:cstheme="minorHAnsi"/>
          <w:b/>
          <w:bCs/>
          <w:i/>
          <w:color w:val="FF860D"/>
          <w:sz w:val="24"/>
          <w:szCs w:val="18"/>
        </w:rPr>
        <w:t>Compiti e Obiettivi:</w:t>
      </w:r>
      <w:r w:rsidRPr="005859D1">
        <w:rPr>
          <w:rFonts w:cstheme="minorHAnsi"/>
          <w:color w:val="1F4E79" w:themeColor="accent1" w:themeShade="80"/>
          <w:sz w:val="24"/>
          <w:szCs w:val="18"/>
        </w:rPr>
        <w:br/>
      </w:r>
      <w:r w:rsidR="00A671CE">
        <w:rPr>
          <w:rFonts w:cstheme="minorHAnsi"/>
          <w:color w:val="1F4E79" w:themeColor="accent1" w:themeShade="80"/>
          <w:sz w:val="24"/>
          <w:szCs w:val="24"/>
        </w:rPr>
        <w:t>Le risorse selezionate verranno affiancate e seguite</w:t>
      </w:r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t xml:space="preserve"> da personale sen</w:t>
      </w:r>
      <w:r w:rsidR="00A671CE">
        <w:rPr>
          <w:rFonts w:cstheme="minorHAnsi"/>
          <w:color w:val="1F4E79" w:themeColor="accent1" w:themeShade="80"/>
          <w:sz w:val="24"/>
          <w:szCs w:val="24"/>
        </w:rPr>
        <w:t>ior altamente qualificato e avranno</w:t>
      </w:r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t xml:space="preserve"> l’opportunità di intraprendere un percorso di formazione on the job, svolgendo attività finalizzate al raggiungimento dei seguenti obiettivi:</w:t>
      </w:r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br/>
        <w:t>- Acquisire o consolidare nozioni riferite allo specifico contesto di amministrazione, finanza e controllo</w:t>
      </w:r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br/>
        <w:t xml:space="preserve">- Apprendere nozioni di base sul generico dominio dei software gestionali ed un primo bagaglio di conoscenze specifiche sui prodotti software dell’azienda (le nuove soluzioni TAS </w:t>
      </w:r>
      <w:proofErr w:type="spellStart"/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t>extendERP</w:t>
      </w:r>
      <w:proofErr w:type="spellEnd"/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t xml:space="preserve">/EPM </w:t>
      </w:r>
      <w:proofErr w:type="spellStart"/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t>based</w:t>
      </w:r>
      <w:proofErr w:type="spellEnd"/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t xml:space="preserve"> on Oracle </w:t>
      </w:r>
      <w:proofErr w:type="spellStart"/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t>Cloud</w:t>
      </w:r>
      <w:proofErr w:type="spellEnd"/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t>)</w:t>
      </w:r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br/>
        <w:t>- Acquisire la capacità di muoversi nei processi di erogazione di servizio dell’azienda, relazionandosi efficacemente con i soggetti interni ed esterni coinvolti</w:t>
      </w:r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br/>
        <w:t>- Offrire supporto nei processi di analisi presso il cliente</w:t>
      </w:r>
      <w:r w:rsidR="00D05FA9" w:rsidRPr="00D05FA9">
        <w:rPr>
          <w:rFonts w:cstheme="minorHAnsi"/>
          <w:color w:val="1F4E79" w:themeColor="accent1" w:themeShade="80"/>
          <w:sz w:val="24"/>
          <w:szCs w:val="24"/>
        </w:rPr>
        <w:br/>
        <w:t>- Affiancare i colleghi negli interventi di formazione e assistenza sul cliente, che potranno avvenire on site (presso la sede del cliente) oppure da remoto, applicando le nozioni acquisite sui prodotti software dell’azienda</w:t>
      </w:r>
    </w:p>
    <w:p w:rsidR="00134025" w:rsidRDefault="005859D1" w:rsidP="009912E0">
      <w:pPr>
        <w:spacing w:after="0" w:line="240" w:lineRule="auto"/>
        <w:rPr>
          <w:rFonts w:cstheme="minorHAnsi"/>
          <w:color w:val="1F4E79" w:themeColor="accent1" w:themeShade="80"/>
          <w:sz w:val="24"/>
          <w:szCs w:val="18"/>
        </w:rPr>
      </w:pPr>
      <w:r w:rsidRPr="005859D1">
        <w:rPr>
          <w:rFonts w:cstheme="minorHAnsi"/>
          <w:b/>
          <w:bCs/>
          <w:i/>
          <w:color w:val="FF860D"/>
          <w:sz w:val="24"/>
          <w:szCs w:val="18"/>
        </w:rPr>
        <w:br/>
        <w:t xml:space="preserve">Requisiti </w:t>
      </w:r>
      <w:r w:rsidR="00134025">
        <w:rPr>
          <w:rFonts w:cstheme="minorHAnsi"/>
          <w:b/>
          <w:bCs/>
          <w:i/>
          <w:color w:val="FF860D"/>
          <w:sz w:val="24"/>
          <w:szCs w:val="18"/>
        </w:rPr>
        <w:t>professionali</w:t>
      </w:r>
      <w:r w:rsidRPr="005859D1">
        <w:rPr>
          <w:rFonts w:cstheme="minorHAnsi"/>
          <w:b/>
          <w:bCs/>
          <w:i/>
          <w:color w:val="FF860D"/>
          <w:sz w:val="24"/>
          <w:szCs w:val="18"/>
        </w:rPr>
        <w:t>:</w:t>
      </w:r>
      <w:r w:rsidRPr="005859D1">
        <w:rPr>
          <w:rFonts w:cstheme="minorHAnsi"/>
          <w:color w:val="1F4E79" w:themeColor="accent1" w:themeShade="80"/>
          <w:sz w:val="24"/>
          <w:szCs w:val="18"/>
        </w:rPr>
        <w:br/>
      </w:r>
      <w:r w:rsidR="00D05FA9">
        <w:rPr>
          <w:rFonts w:cstheme="minorHAnsi"/>
          <w:color w:val="1F4E79" w:themeColor="accent1" w:themeShade="80"/>
          <w:sz w:val="24"/>
          <w:szCs w:val="18"/>
        </w:rPr>
        <w:t>- Conoscenze</w:t>
      </w:r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t xml:space="preserve"> in ambito sistemi informativi aziendali</w:t>
      </w:r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br/>
        <w:t>- Buona capacità analitiche</w:t>
      </w:r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br/>
        <w:t>- Predisposizione all’ascolto e ad instaurare rapporti interpersonali</w:t>
      </w:r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br/>
        <w:t>- Buona conoscenza della lingua inglese scritta e parlata</w:t>
      </w:r>
      <w:r w:rsidR="00D05FA9" w:rsidRPr="005859D1">
        <w:rPr>
          <w:rFonts w:cstheme="minorHAnsi"/>
          <w:color w:val="1F4E79" w:themeColor="accent1" w:themeShade="80"/>
          <w:sz w:val="24"/>
          <w:szCs w:val="18"/>
        </w:rPr>
        <w:t xml:space="preserve"> </w:t>
      </w:r>
      <w:r w:rsidRPr="005859D1">
        <w:rPr>
          <w:rFonts w:cstheme="minorHAnsi"/>
          <w:color w:val="1F4E79" w:themeColor="accent1" w:themeShade="80"/>
          <w:sz w:val="24"/>
          <w:szCs w:val="18"/>
        </w:rPr>
        <w:br/>
      </w:r>
      <w:r w:rsidRPr="005859D1">
        <w:rPr>
          <w:rFonts w:cstheme="minorHAnsi"/>
          <w:color w:val="1F4E79" w:themeColor="accent1" w:themeShade="80"/>
          <w:sz w:val="24"/>
          <w:szCs w:val="18"/>
        </w:rPr>
        <w:br/>
      </w:r>
      <w:r w:rsidRPr="005859D1">
        <w:rPr>
          <w:rFonts w:cstheme="minorHAnsi"/>
          <w:b/>
          <w:bCs/>
          <w:i/>
          <w:color w:val="FF860D"/>
          <w:sz w:val="24"/>
          <w:szCs w:val="18"/>
        </w:rPr>
        <w:t>Cosa offriamo:</w:t>
      </w:r>
      <w:r w:rsidRPr="005859D1">
        <w:rPr>
          <w:rFonts w:cstheme="minorHAnsi"/>
          <w:color w:val="1F4E79" w:themeColor="accent1" w:themeShade="80"/>
          <w:sz w:val="24"/>
          <w:szCs w:val="18"/>
        </w:rPr>
        <w:br/>
      </w:r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t xml:space="preserve">Opportunità di inserimento all’interno di un’azienda multinazionale </w:t>
      </w:r>
      <w:proofErr w:type="spellStart"/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t>gold</w:t>
      </w:r>
      <w:proofErr w:type="spellEnd"/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t xml:space="preserve"> Partner Oracle, in forte espansione, un ambiente dinamico e stimolante, la possibilità di sperimentare logiche di lavoro in team e di confronto con diverse figure professionali a tutti i livelli. A tutti i tirocinanti verrà inoltre </w:t>
      </w:r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lastRenderedPageBreak/>
        <w:t xml:space="preserve">proposto uno percorso di formazione sulla piattaforma Oracle </w:t>
      </w:r>
      <w:proofErr w:type="spellStart"/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t>Cloud</w:t>
      </w:r>
      <w:proofErr w:type="spellEnd"/>
      <w:r w:rsidR="00D05FA9" w:rsidRPr="00D05FA9">
        <w:rPr>
          <w:rFonts w:cstheme="minorHAnsi"/>
          <w:color w:val="1F4E79" w:themeColor="accent1" w:themeShade="80"/>
          <w:sz w:val="24"/>
          <w:szCs w:val="18"/>
        </w:rPr>
        <w:t xml:space="preserve"> con relativo test di specializzazione finale.</w:t>
      </w:r>
    </w:p>
    <w:p w:rsidR="00D05FA9" w:rsidRDefault="00D05FA9" w:rsidP="009912E0">
      <w:pPr>
        <w:spacing w:after="0" w:line="240" w:lineRule="auto"/>
        <w:rPr>
          <w:rFonts w:cstheme="minorHAnsi"/>
          <w:b/>
          <w:bCs/>
          <w:i/>
          <w:color w:val="FF860D"/>
          <w:sz w:val="24"/>
          <w:szCs w:val="18"/>
        </w:rPr>
      </w:pPr>
    </w:p>
    <w:p w:rsidR="00134025" w:rsidRDefault="00134025" w:rsidP="009912E0">
      <w:pPr>
        <w:spacing w:after="0"/>
        <w:rPr>
          <w:rFonts w:cstheme="minorHAnsi"/>
          <w:color w:val="1F4E79" w:themeColor="accent1" w:themeShade="80"/>
          <w:sz w:val="24"/>
          <w:szCs w:val="18"/>
        </w:rPr>
      </w:pPr>
      <w:r>
        <w:rPr>
          <w:rFonts w:cstheme="minorHAnsi"/>
          <w:b/>
          <w:bCs/>
          <w:i/>
          <w:color w:val="FF860D"/>
          <w:sz w:val="24"/>
          <w:szCs w:val="18"/>
        </w:rPr>
        <w:t>Titolo di studio</w:t>
      </w:r>
      <w:r w:rsidRPr="000228F0">
        <w:rPr>
          <w:rFonts w:cstheme="minorHAnsi"/>
          <w:b/>
          <w:bCs/>
          <w:i/>
          <w:color w:val="FF860D"/>
          <w:sz w:val="24"/>
          <w:szCs w:val="18"/>
        </w:rPr>
        <w:t xml:space="preserve">: </w:t>
      </w:r>
      <w:r w:rsidR="000228F0" w:rsidRPr="0051574B">
        <w:rPr>
          <w:rFonts w:cstheme="minorHAnsi"/>
          <w:color w:val="1F4E79" w:themeColor="accent1" w:themeShade="80"/>
          <w:sz w:val="24"/>
          <w:szCs w:val="18"/>
          <w:highlight w:val="yellow"/>
        </w:rPr>
        <w:t>Laurea in Ingegneria Gestionale</w:t>
      </w:r>
      <w:r w:rsidR="00D05FA9" w:rsidRPr="0051574B">
        <w:rPr>
          <w:rFonts w:cstheme="minorHAnsi"/>
          <w:color w:val="1F4E79" w:themeColor="accent1" w:themeShade="80"/>
          <w:sz w:val="24"/>
          <w:szCs w:val="18"/>
          <w:highlight w:val="yellow"/>
        </w:rPr>
        <w:t xml:space="preserve"> con votazione non inferiore a 100/110L</w:t>
      </w:r>
      <w:r w:rsidR="0051574B">
        <w:rPr>
          <w:rFonts w:cstheme="minorHAnsi"/>
          <w:color w:val="1F4E79" w:themeColor="accent1" w:themeShade="80"/>
          <w:sz w:val="24"/>
          <w:szCs w:val="18"/>
        </w:rPr>
        <w:t>.</w:t>
      </w:r>
      <w:bookmarkStart w:id="0" w:name="_GoBack"/>
      <w:bookmarkEnd w:id="0"/>
    </w:p>
    <w:p w:rsidR="00134025" w:rsidRPr="00134025" w:rsidRDefault="00134025" w:rsidP="009912E0">
      <w:pPr>
        <w:spacing w:after="0"/>
        <w:rPr>
          <w:rFonts w:cstheme="minorHAnsi"/>
          <w:bCs/>
          <w:color w:val="1F4E79" w:themeColor="accent1" w:themeShade="80"/>
          <w:sz w:val="24"/>
          <w:szCs w:val="18"/>
        </w:rPr>
      </w:pPr>
    </w:p>
    <w:p w:rsidR="00134025" w:rsidRDefault="005859D1" w:rsidP="009912E0">
      <w:pPr>
        <w:spacing w:after="0"/>
        <w:rPr>
          <w:rFonts w:ascii="Calibri" w:eastAsia="Calibri" w:hAnsi="Calibri" w:cs="Calibri"/>
          <w:color w:val="2F5496"/>
          <w:sz w:val="24"/>
          <w:szCs w:val="24"/>
        </w:rPr>
      </w:pPr>
      <w:r w:rsidRPr="005859D1">
        <w:rPr>
          <w:rFonts w:cstheme="minorHAnsi"/>
          <w:b/>
          <w:bCs/>
          <w:i/>
          <w:color w:val="FF860D"/>
          <w:sz w:val="24"/>
          <w:szCs w:val="18"/>
        </w:rPr>
        <w:t>Tipologia:</w:t>
      </w:r>
      <w:r w:rsidRPr="005859D1">
        <w:rPr>
          <w:rFonts w:cstheme="minorHAnsi"/>
          <w:color w:val="1F4E79" w:themeColor="accent1" w:themeShade="80"/>
          <w:sz w:val="24"/>
          <w:szCs w:val="18"/>
        </w:rPr>
        <w:t> Tirocinio extracurriculare</w:t>
      </w:r>
      <w:r w:rsidR="00134025">
        <w:rPr>
          <w:rFonts w:cstheme="minorHAnsi"/>
          <w:color w:val="1F4E79" w:themeColor="accent1" w:themeShade="80"/>
          <w:sz w:val="24"/>
          <w:szCs w:val="18"/>
        </w:rPr>
        <w:t xml:space="preserve"> </w:t>
      </w:r>
      <w:r w:rsidR="00134025" w:rsidRPr="00134025">
        <w:rPr>
          <w:rFonts w:ascii="Calibri" w:eastAsia="Calibri" w:hAnsi="Calibri" w:cs="Calibri"/>
          <w:color w:val="2F5496"/>
          <w:sz w:val="24"/>
          <w:szCs w:val="24"/>
        </w:rPr>
        <w:t>(con possibilità di inserimento a tempo indeterminato)</w:t>
      </w:r>
    </w:p>
    <w:p w:rsidR="00D05FA9" w:rsidRDefault="00D05FA9" w:rsidP="009912E0">
      <w:pPr>
        <w:spacing w:after="0"/>
        <w:rPr>
          <w:rFonts w:ascii="Calibri" w:eastAsia="Calibri" w:hAnsi="Calibri" w:cs="Calibri"/>
          <w:color w:val="2F5496"/>
          <w:sz w:val="24"/>
          <w:szCs w:val="24"/>
        </w:rPr>
      </w:pPr>
    </w:p>
    <w:p w:rsidR="00D05FA9" w:rsidRPr="00D05FA9" w:rsidRDefault="00D05FA9" w:rsidP="009912E0">
      <w:pPr>
        <w:spacing w:after="0"/>
        <w:rPr>
          <w:rFonts w:cstheme="minorHAnsi"/>
          <w:bCs/>
          <w:color w:val="1F4E79" w:themeColor="accent1" w:themeShade="80"/>
          <w:sz w:val="24"/>
          <w:szCs w:val="18"/>
        </w:rPr>
      </w:pPr>
      <w:r w:rsidRPr="00D05FA9">
        <w:rPr>
          <w:rFonts w:cstheme="minorHAnsi"/>
          <w:b/>
          <w:bCs/>
          <w:i/>
          <w:color w:val="FF860D"/>
          <w:sz w:val="24"/>
          <w:szCs w:val="18"/>
        </w:rPr>
        <w:t xml:space="preserve">Durata: </w:t>
      </w:r>
      <w:r>
        <w:rPr>
          <w:rFonts w:cstheme="minorHAnsi"/>
          <w:bCs/>
          <w:color w:val="1F4E79" w:themeColor="accent1" w:themeShade="80"/>
          <w:sz w:val="24"/>
          <w:szCs w:val="18"/>
        </w:rPr>
        <w:t>6 mesi (previsto rimborso spese)</w:t>
      </w:r>
    </w:p>
    <w:p w:rsidR="005859D1" w:rsidRDefault="005859D1" w:rsidP="00841ABD">
      <w:pPr>
        <w:spacing w:after="0"/>
        <w:rPr>
          <w:rFonts w:cstheme="minorHAnsi"/>
          <w:color w:val="1F4E79" w:themeColor="accent1" w:themeShade="80"/>
          <w:sz w:val="24"/>
          <w:szCs w:val="18"/>
        </w:rPr>
      </w:pPr>
      <w:r w:rsidRPr="005859D1">
        <w:rPr>
          <w:rFonts w:cstheme="minorHAnsi"/>
          <w:color w:val="1F4E79" w:themeColor="accent1" w:themeShade="80"/>
          <w:sz w:val="24"/>
          <w:szCs w:val="18"/>
        </w:rPr>
        <w:br/>
      </w:r>
      <w:r w:rsidRPr="005859D1">
        <w:rPr>
          <w:rFonts w:cstheme="minorHAnsi"/>
          <w:b/>
          <w:bCs/>
          <w:i/>
          <w:color w:val="FF860D"/>
          <w:sz w:val="24"/>
          <w:szCs w:val="18"/>
        </w:rPr>
        <w:t>Sede:</w:t>
      </w:r>
      <w:r w:rsidRPr="005859D1">
        <w:rPr>
          <w:rFonts w:cstheme="minorHAnsi"/>
          <w:color w:val="FF860D"/>
          <w:sz w:val="24"/>
          <w:szCs w:val="18"/>
        </w:rPr>
        <w:t> </w:t>
      </w:r>
      <w:r w:rsidR="00D05FA9">
        <w:rPr>
          <w:rFonts w:cstheme="minorHAnsi"/>
          <w:color w:val="1F4E79" w:themeColor="accent1" w:themeShade="80"/>
          <w:sz w:val="24"/>
          <w:szCs w:val="18"/>
        </w:rPr>
        <w:t>Parma</w:t>
      </w:r>
    </w:p>
    <w:p w:rsidR="00841ABD" w:rsidRDefault="00841ABD" w:rsidP="00841ABD">
      <w:pPr>
        <w:spacing w:after="0"/>
        <w:rPr>
          <w:rFonts w:cstheme="minorHAnsi"/>
          <w:color w:val="1F4E79" w:themeColor="accent1" w:themeShade="80"/>
          <w:sz w:val="24"/>
          <w:szCs w:val="18"/>
        </w:rPr>
      </w:pPr>
    </w:p>
    <w:p w:rsidR="00841ABD" w:rsidRPr="00841ABD" w:rsidRDefault="00841ABD" w:rsidP="00841ABD">
      <w:pPr>
        <w:spacing w:after="0"/>
        <w:rPr>
          <w:rFonts w:cstheme="minorHAnsi"/>
          <w:b/>
          <w:bCs/>
          <w:i/>
          <w:color w:val="FF860D"/>
          <w:sz w:val="24"/>
          <w:szCs w:val="18"/>
        </w:rPr>
      </w:pPr>
      <w:r w:rsidRPr="00841ABD">
        <w:rPr>
          <w:rFonts w:cstheme="minorHAnsi"/>
          <w:b/>
          <w:bCs/>
          <w:i/>
          <w:color w:val="FF860D"/>
          <w:sz w:val="24"/>
          <w:szCs w:val="18"/>
        </w:rPr>
        <w:t>Per candidarsi:</w:t>
      </w:r>
    </w:p>
    <w:p w:rsidR="00841ABD" w:rsidRDefault="00841ABD" w:rsidP="00841ABD">
      <w:pPr>
        <w:spacing w:after="0"/>
        <w:rPr>
          <w:rFonts w:cstheme="minorHAnsi"/>
          <w:color w:val="1F4E79" w:themeColor="accent1" w:themeShade="80"/>
          <w:sz w:val="24"/>
          <w:szCs w:val="24"/>
        </w:rPr>
      </w:pPr>
      <w:proofErr w:type="gramStart"/>
      <w:r>
        <w:rPr>
          <w:rFonts w:cstheme="minorHAnsi"/>
          <w:color w:val="1F4E79" w:themeColor="accent1" w:themeShade="80"/>
          <w:sz w:val="24"/>
          <w:szCs w:val="24"/>
        </w:rPr>
        <w:t>inviare</w:t>
      </w:r>
      <w:proofErr w:type="gramEnd"/>
      <w:r>
        <w:rPr>
          <w:rFonts w:cstheme="minorHAnsi"/>
          <w:color w:val="1F4E79" w:themeColor="accent1" w:themeShade="80"/>
          <w:sz w:val="24"/>
          <w:szCs w:val="24"/>
        </w:rPr>
        <w:t xml:space="preserve"> il proprio cv aggiornato a: </w:t>
      </w:r>
      <w:hyperlink r:id="rId5" w:history="1">
        <w:r w:rsidRPr="00BB16E0">
          <w:rPr>
            <w:rStyle w:val="Collegamentoipertestuale"/>
            <w:rFonts w:cstheme="minorHAnsi"/>
            <w:sz w:val="24"/>
            <w:szCs w:val="24"/>
          </w:rPr>
          <w:t>job@tasgroup.eu</w:t>
        </w:r>
      </w:hyperlink>
      <w:r w:rsidR="00B37BA5">
        <w:rPr>
          <w:rFonts w:cstheme="minorHAnsi"/>
          <w:color w:val="1F4E79" w:themeColor="accent1" w:themeShade="80"/>
          <w:sz w:val="24"/>
          <w:szCs w:val="24"/>
        </w:rPr>
        <w:t xml:space="preserve"> entro il 30/06</w:t>
      </w:r>
      <w:r>
        <w:rPr>
          <w:rFonts w:cstheme="minorHAnsi"/>
          <w:color w:val="1F4E79" w:themeColor="accent1" w:themeShade="80"/>
          <w:sz w:val="24"/>
          <w:szCs w:val="24"/>
        </w:rPr>
        <w:t xml:space="preserve">/2020 inserendo in oggetto “Rif. Contatto Ufficio </w:t>
      </w:r>
      <w:proofErr w:type="spellStart"/>
      <w:r>
        <w:rPr>
          <w:rFonts w:cstheme="minorHAnsi"/>
          <w:color w:val="1F4E79" w:themeColor="accent1" w:themeShade="80"/>
          <w:sz w:val="24"/>
          <w:szCs w:val="24"/>
        </w:rPr>
        <w:t>Placement</w:t>
      </w:r>
      <w:proofErr w:type="spellEnd"/>
      <w:r>
        <w:rPr>
          <w:rFonts w:cstheme="minorHAnsi"/>
          <w:color w:val="1F4E79" w:themeColor="accent1" w:themeShade="80"/>
          <w:sz w:val="24"/>
          <w:szCs w:val="24"/>
        </w:rPr>
        <w:t xml:space="preserve"> Politecnico di Bari”.</w:t>
      </w:r>
    </w:p>
    <w:p w:rsidR="00841ABD" w:rsidRDefault="00841ABD" w:rsidP="00841ABD">
      <w:pPr>
        <w:spacing w:after="0"/>
        <w:rPr>
          <w:rFonts w:cstheme="minorHAnsi"/>
          <w:color w:val="1F4E79" w:themeColor="accent1" w:themeShade="80"/>
          <w:sz w:val="24"/>
          <w:szCs w:val="24"/>
        </w:rPr>
      </w:pPr>
    </w:p>
    <w:p w:rsidR="00841ABD" w:rsidRPr="00841ABD" w:rsidRDefault="00841ABD" w:rsidP="00841ABD">
      <w:pPr>
        <w:widowControl w:val="0"/>
        <w:suppressAutoHyphens/>
        <w:spacing w:before="240" w:after="0" w:line="240" w:lineRule="auto"/>
        <w:jc w:val="both"/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</w:pPr>
      <w:r w:rsidRPr="00841ABD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 xml:space="preserve">Il CV dovrà contenere l’autorizzazione al trattamento dei dati personali ai sensi del D. </w:t>
      </w:r>
      <w:proofErr w:type="spellStart"/>
      <w:r w:rsidRPr="00841ABD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>Lgs</w:t>
      </w:r>
      <w:proofErr w:type="spellEnd"/>
      <w:r w:rsidRPr="00841ABD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 xml:space="preserve">. n. 196/2003 e ss.mm. </w:t>
      </w:r>
      <w:proofErr w:type="gramStart"/>
      <w:r w:rsidRPr="00841ABD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>e</w:t>
      </w:r>
      <w:proofErr w:type="gramEnd"/>
      <w:r w:rsidRPr="00841ABD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 xml:space="preserve"> ii. </w:t>
      </w:r>
      <w:proofErr w:type="gramStart"/>
      <w:r w:rsidRPr="00841ABD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>e</w:t>
      </w:r>
      <w:proofErr w:type="gramEnd"/>
      <w:r w:rsidRPr="00841ABD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 xml:space="preserve"> dell’art. 13 GDPR (Regolamento UE 2016/679) ed attestazione di veridicità ai sensi del DPR n.445/2000. </w:t>
      </w:r>
    </w:p>
    <w:p w:rsidR="00841ABD" w:rsidRPr="00841ABD" w:rsidRDefault="00841ABD" w:rsidP="00841AB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</w:pPr>
      <w:r w:rsidRPr="00841ABD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>Il presente annuncio è rivolto ad ambo i sessi, ai sensi della normativa vigente.</w:t>
      </w:r>
    </w:p>
    <w:sectPr w:rsidR="00841ABD" w:rsidRPr="00841A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02"/>
    <w:rsid w:val="000228F0"/>
    <w:rsid w:val="0005623C"/>
    <w:rsid w:val="00134025"/>
    <w:rsid w:val="004B38AF"/>
    <w:rsid w:val="0051574B"/>
    <w:rsid w:val="00520B02"/>
    <w:rsid w:val="005859D1"/>
    <w:rsid w:val="00841ABD"/>
    <w:rsid w:val="008509A7"/>
    <w:rsid w:val="00862093"/>
    <w:rsid w:val="009912E0"/>
    <w:rsid w:val="00A671CE"/>
    <w:rsid w:val="00B37BA5"/>
    <w:rsid w:val="00B829F8"/>
    <w:rsid w:val="00D05FA9"/>
    <w:rsid w:val="00E3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167DE-C1FE-4FD7-9446-7A3656E4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B3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B38A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841ABD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ob@tasgroup.e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TAS SPA</Company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Tumolo</dc:creator>
  <cp:keywords/>
  <dc:description/>
  <cp:lastModifiedBy>Daniela Tumolo</cp:lastModifiedBy>
  <cp:revision>15</cp:revision>
  <cp:lastPrinted>2020-04-01T15:17:00Z</cp:lastPrinted>
  <dcterms:created xsi:type="dcterms:W3CDTF">2019-06-19T11:07:00Z</dcterms:created>
  <dcterms:modified xsi:type="dcterms:W3CDTF">2020-04-03T11:03:00Z</dcterms:modified>
</cp:coreProperties>
</file>